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51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 июня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Сухроба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OrganizationNamegrp-33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грузчиком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4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User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02.11.2025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4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назначенный постановлением по делу об 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дминистративном правонарушении </w:t>
      </w:r>
      <w:r>
        <w:rPr>
          <w:rStyle w:val="cat-UserDefinedgrp-46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21.08.2025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21.08.2025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 в полном объеме.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>
        <w:rPr>
          <w:rFonts w:ascii="Times New Roman" w:eastAsia="Times New Roman" w:hAnsi="Times New Roman" w:cs="Times New Roman"/>
          <w:sz w:val="25"/>
          <w:szCs w:val="25"/>
        </w:rPr>
        <w:t>., исследовав материалы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истративного дела, считает,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02.06.2026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Style w:val="cat-UserDefinedgrp-46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21.08.2025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.2024 после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установленного срока не исключает наличие в действиях Комилджонзада С.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Сухроба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шестьсот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0412365400395005112620183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OrganizationNamegrp-33rplc-8">
    <w:name w:val="cat-OrganizationName grp-33 rplc-8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6rplc-23">
    <w:name w:val="cat-UserDefined grp-46 rplc-23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46rplc-34">
    <w:name w:val="cat-UserDefined grp-46 rplc-34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8rplc-59">
    <w:name w:val="cat-UserDefined grp-48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